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8838"/>
      </w:tblGrid>
      <w:tr w:rsidR="007020C5" w:rsidRPr="007020C5" w:rsidTr="007020C5">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2970"/>
              <w:gridCol w:w="4524"/>
              <w:gridCol w:w="1238"/>
            </w:tblGrid>
            <w:tr w:rsidR="007020C5" w:rsidRPr="007020C5">
              <w:trPr>
                <w:tblCellSpacing w:w="0" w:type="dxa"/>
              </w:trPr>
              <w:tc>
                <w:tcPr>
                  <w:tcW w:w="1000" w:type="pct"/>
                  <w:vMerge w:val="restart"/>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Times New Roman" w:eastAsia="Times New Roman" w:hAnsi="Times New Roman" w:cs="Times New Roman"/>
                      <w:sz w:val="24"/>
                      <w:szCs w:val="24"/>
                      <w:lang w:eastAsia="es-MX"/>
                    </w:rPr>
                  </w:pPr>
                  <w:r w:rsidRPr="007020C5">
                    <w:rPr>
                      <w:rFonts w:ascii="Times New Roman" w:eastAsia="Times New Roman" w:hAnsi="Times New Roman" w:cs="Times New Roman"/>
                      <w:noProof/>
                      <w:sz w:val="24"/>
                      <w:szCs w:val="24"/>
                      <w:lang w:eastAsia="es-MX"/>
                    </w:rPr>
                    <w:drawing>
                      <wp:inline distT="0" distB="0" distL="0" distR="0">
                        <wp:extent cx="1858010" cy="636270"/>
                        <wp:effectExtent l="0" t="0" r="8890" b="0"/>
                        <wp:docPr id="2" name="Imagen 2" descr="http://isolucion.inpec.gov.co/Isolucion4Inpec/Medios4INPEC/logog%20doc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olucion.inpec.gov.co/Isolucion4Inpec/Medios4INPEC/logog%20docs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8010" cy="636270"/>
                                </a:xfrm>
                                <a:prstGeom prst="rect">
                                  <a:avLst/>
                                </a:prstGeom>
                                <a:noFill/>
                                <a:ln>
                                  <a:noFill/>
                                </a:ln>
                              </pic:spPr>
                            </pic:pic>
                          </a:graphicData>
                        </a:graphic>
                      </wp:inline>
                    </w:drawing>
                  </w:r>
                </w:p>
              </w:tc>
              <w:tc>
                <w:tcPr>
                  <w:tcW w:w="3000" w:type="pct"/>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r w:rsidRPr="007020C5">
                    <w:rPr>
                      <w:rFonts w:ascii="Arial Narrow" w:eastAsia="Times New Roman" w:hAnsi="Arial Narrow" w:cs="Times New Roman"/>
                      <w:b/>
                      <w:bCs/>
                      <w:color w:val="000000"/>
                      <w:sz w:val="24"/>
                      <w:szCs w:val="24"/>
                      <w:lang w:eastAsia="es-MX"/>
                    </w:rPr>
                    <w:t> GESTIÓN FINANCIERA </w:t>
                  </w:r>
                </w:p>
              </w:tc>
              <w:tc>
                <w:tcPr>
                  <w:tcW w:w="1000" w:type="pct"/>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7020C5" w:rsidRPr="007020C5" w:rsidRDefault="007020C5" w:rsidP="007020C5">
                  <w:pPr>
                    <w:spacing w:after="0" w:line="240" w:lineRule="auto"/>
                    <w:rPr>
                      <w:rFonts w:ascii="Arial Narrow" w:eastAsia="Times New Roman" w:hAnsi="Arial Narrow" w:cs="Times New Roman"/>
                      <w:b/>
                      <w:bCs/>
                      <w:color w:val="000000"/>
                      <w:sz w:val="24"/>
                      <w:szCs w:val="24"/>
                      <w:lang w:eastAsia="es-MX"/>
                    </w:rPr>
                  </w:pPr>
                  <w:r w:rsidRPr="007020C5">
                    <w:rPr>
                      <w:rFonts w:ascii="Arial Narrow" w:eastAsia="Times New Roman" w:hAnsi="Arial Narrow" w:cs="Times New Roman"/>
                      <w:b/>
                      <w:bCs/>
                      <w:color w:val="000000"/>
                      <w:sz w:val="24"/>
                      <w:szCs w:val="24"/>
                      <w:lang w:eastAsia="es-MX"/>
                    </w:rPr>
                    <w:t>CÓDIGO: PA-GF-P10</w:t>
                  </w:r>
                </w:p>
              </w:tc>
            </w:tr>
            <w:tr w:rsidR="007020C5" w:rsidRPr="007020C5">
              <w:trPr>
                <w:tblCellSpacing w:w="0" w:type="dxa"/>
              </w:trPr>
              <w:tc>
                <w:tcPr>
                  <w:tcW w:w="0" w:type="auto"/>
                  <w:vMerge/>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p>
              </w:tc>
              <w:tc>
                <w:tcPr>
                  <w:tcW w:w="0" w:type="auto"/>
                  <w:vMerge w:val="restart"/>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bookmarkStart w:id="0" w:name="_GoBack"/>
                  <w:r w:rsidRPr="007020C5">
                    <w:rPr>
                      <w:rFonts w:ascii="Arial Narrow" w:eastAsia="Times New Roman" w:hAnsi="Arial Narrow" w:cs="Times New Roman"/>
                      <w:b/>
                      <w:bCs/>
                      <w:color w:val="000000"/>
                      <w:sz w:val="24"/>
                      <w:szCs w:val="24"/>
                      <w:lang w:eastAsia="es-MX"/>
                    </w:rPr>
                    <w:t>CONCILIACIÓN ALMACÉN PCT Y SIIF NACIÓN</w:t>
                  </w:r>
                  <w:bookmarkEnd w:id="0"/>
                </w:p>
              </w:tc>
              <w:tc>
                <w:tcPr>
                  <w:tcW w:w="0" w:type="auto"/>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7020C5" w:rsidRPr="007020C5" w:rsidRDefault="007020C5" w:rsidP="007020C5">
                  <w:pPr>
                    <w:spacing w:after="0" w:line="240" w:lineRule="auto"/>
                    <w:rPr>
                      <w:rFonts w:ascii="Arial Narrow" w:eastAsia="Times New Roman" w:hAnsi="Arial Narrow" w:cs="Times New Roman"/>
                      <w:b/>
                      <w:bCs/>
                      <w:color w:val="000000"/>
                      <w:sz w:val="24"/>
                      <w:szCs w:val="24"/>
                      <w:lang w:eastAsia="es-MX"/>
                    </w:rPr>
                  </w:pPr>
                  <w:r w:rsidRPr="007020C5">
                    <w:rPr>
                      <w:rFonts w:ascii="Arial Narrow" w:eastAsia="Times New Roman" w:hAnsi="Arial Narrow" w:cs="Times New Roman"/>
                      <w:b/>
                      <w:bCs/>
                      <w:color w:val="000000"/>
                      <w:sz w:val="24"/>
                      <w:szCs w:val="24"/>
                      <w:lang w:eastAsia="es-MX"/>
                    </w:rPr>
                    <w:t>VERSIÓN: 01</w:t>
                  </w:r>
                </w:p>
              </w:tc>
            </w:tr>
            <w:tr w:rsidR="007020C5" w:rsidRPr="007020C5">
              <w:trPr>
                <w:tblCellSpacing w:w="0" w:type="dxa"/>
              </w:trPr>
              <w:tc>
                <w:tcPr>
                  <w:tcW w:w="0" w:type="auto"/>
                  <w:vMerge/>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p>
              </w:tc>
              <w:tc>
                <w:tcPr>
                  <w:tcW w:w="0" w:type="auto"/>
                  <w:vMerge/>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7020C5" w:rsidRPr="007020C5" w:rsidRDefault="007020C5" w:rsidP="007020C5">
                  <w:pPr>
                    <w:spacing w:after="0" w:line="240" w:lineRule="auto"/>
                    <w:rPr>
                      <w:rFonts w:ascii="Arial Narrow" w:eastAsia="Times New Roman" w:hAnsi="Arial Narrow" w:cs="Times New Roman"/>
                      <w:b/>
                      <w:bCs/>
                      <w:color w:val="000000"/>
                      <w:sz w:val="24"/>
                      <w:szCs w:val="24"/>
                      <w:lang w:eastAsia="es-MX"/>
                    </w:rPr>
                  </w:pPr>
                </w:p>
              </w:tc>
              <w:tc>
                <w:tcPr>
                  <w:tcW w:w="0" w:type="auto"/>
                  <w:tcBorders>
                    <w:top w:val="outset" w:sz="6" w:space="0" w:color="004C5A"/>
                    <w:left w:val="outset" w:sz="6" w:space="0" w:color="004C5A"/>
                    <w:bottom w:val="outset" w:sz="6" w:space="0" w:color="004C5A"/>
                    <w:right w:val="outset" w:sz="6" w:space="0" w:color="004C5A"/>
                  </w:tcBorders>
                  <w:tcMar>
                    <w:top w:w="0" w:type="dxa"/>
                    <w:left w:w="135" w:type="dxa"/>
                    <w:bottom w:w="0" w:type="dxa"/>
                    <w:right w:w="0" w:type="dxa"/>
                  </w:tcMar>
                  <w:vAlign w:val="center"/>
                  <w:hideMark/>
                </w:tcPr>
                <w:p w:rsidR="007020C5" w:rsidRPr="007020C5" w:rsidRDefault="007020C5" w:rsidP="007020C5">
                  <w:pPr>
                    <w:spacing w:after="0" w:line="240" w:lineRule="auto"/>
                    <w:rPr>
                      <w:rFonts w:ascii="Arial Narrow" w:eastAsia="Times New Roman" w:hAnsi="Arial Narrow" w:cs="Times New Roman"/>
                      <w:b/>
                      <w:bCs/>
                      <w:color w:val="000000"/>
                      <w:sz w:val="24"/>
                      <w:szCs w:val="24"/>
                      <w:lang w:eastAsia="es-MX"/>
                    </w:rPr>
                  </w:pPr>
                  <w:r w:rsidRPr="007020C5">
                    <w:rPr>
                      <w:rFonts w:ascii="Arial Narrow" w:eastAsia="Times New Roman" w:hAnsi="Arial Narrow" w:cs="Times New Roman"/>
                      <w:b/>
                      <w:bCs/>
                      <w:color w:val="000000"/>
                      <w:sz w:val="24"/>
                      <w:szCs w:val="24"/>
                      <w:lang w:eastAsia="es-MX"/>
                    </w:rPr>
                    <w:t>FECHA: 29/Dic/2015</w:t>
                  </w:r>
                </w:p>
              </w:tc>
            </w:tr>
          </w:tbl>
          <w:p w:rsidR="007020C5" w:rsidRPr="007020C5" w:rsidRDefault="007020C5" w:rsidP="007020C5">
            <w:pPr>
              <w:spacing w:after="0" w:line="240" w:lineRule="auto"/>
              <w:rPr>
                <w:rFonts w:ascii="Times New Roman" w:eastAsia="Times New Roman" w:hAnsi="Times New Roman" w:cs="Times New Roman"/>
                <w:sz w:val="24"/>
                <w:szCs w:val="24"/>
                <w:lang w:eastAsia="es-MX"/>
              </w:rPr>
            </w:pPr>
          </w:p>
        </w:tc>
      </w:tr>
      <w:tr w:rsidR="007020C5" w:rsidRPr="007020C5" w:rsidTr="007020C5">
        <w:trPr>
          <w:trHeight w:val="225"/>
          <w:tblCellSpacing w:w="15" w:type="dxa"/>
          <w:jc w:val="center"/>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0"/>
                <w:szCs w:val="20"/>
                <w:lang w:eastAsia="es-MX"/>
              </w:rPr>
            </w:pPr>
          </w:p>
        </w:tc>
      </w:tr>
      <w:tr w:rsidR="007020C5" w:rsidRPr="007020C5" w:rsidTr="007020C5">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7020C5" w:rsidRPr="007020C5">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7020C5" w:rsidRPr="007020C5" w:rsidRDefault="007020C5" w:rsidP="007020C5">
                  <w:pPr>
                    <w:spacing w:after="0" w:line="240" w:lineRule="auto"/>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1. Objetivo</w:t>
                  </w: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7020C5" w:rsidRPr="007020C5">
                    <w:trPr>
                      <w:tblCellSpacing w:w="15" w:type="dxa"/>
                    </w:trPr>
                    <w:tc>
                      <w:tcPr>
                        <w:tcW w:w="15" w:type="dxa"/>
                        <w:vAlign w:val="center"/>
                        <w:hideMark/>
                      </w:tcPr>
                      <w:p w:rsidR="007020C5" w:rsidRPr="007020C5" w:rsidRDefault="007020C5" w:rsidP="007020C5">
                        <w:pPr>
                          <w:spacing w:after="0" w:line="240" w:lineRule="auto"/>
                          <w:rPr>
                            <w:rFonts w:ascii="Arial Narrow" w:eastAsia="Times New Roman" w:hAnsi="Arial Narrow" w:cs="Times New Roman"/>
                            <w:b/>
                            <w:bCs/>
                            <w:color w:val="FFFFFF"/>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Determinar las actividades necesarias para la Conciliación entre Almacén PCT y SIIF Nación que se aplican en el INPEC de acuerdo a la normatividad vigente.</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bl>
          <w:p w:rsidR="007020C5" w:rsidRPr="007020C5" w:rsidRDefault="007020C5" w:rsidP="007020C5">
            <w:pPr>
              <w:spacing w:after="0" w:line="240" w:lineRule="auto"/>
              <w:rPr>
                <w:rFonts w:ascii="Times New Roman" w:eastAsia="Times New Roman" w:hAnsi="Times New Roman" w:cs="Times New Roman"/>
                <w:sz w:val="24"/>
                <w:szCs w:val="24"/>
                <w:lang w:eastAsia="es-MX"/>
              </w:rPr>
            </w:pPr>
          </w:p>
        </w:tc>
      </w:tr>
      <w:tr w:rsidR="007020C5" w:rsidRPr="007020C5" w:rsidTr="007020C5">
        <w:trPr>
          <w:trHeight w:val="225"/>
          <w:tblCellSpacing w:w="15" w:type="dxa"/>
          <w:jc w:val="center"/>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0"/>
                <w:szCs w:val="20"/>
                <w:lang w:eastAsia="es-MX"/>
              </w:rPr>
            </w:pPr>
          </w:p>
        </w:tc>
      </w:tr>
      <w:tr w:rsidR="007020C5" w:rsidRPr="007020C5" w:rsidTr="007020C5">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7020C5" w:rsidRPr="007020C5">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7020C5" w:rsidRPr="007020C5" w:rsidRDefault="007020C5" w:rsidP="007020C5">
                  <w:pPr>
                    <w:spacing w:after="0" w:line="240" w:lineRule="auto"/>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2. Alcance</w:t>
                  </w: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7020C5" w:rsidRPr="007020C5">
                    <w:trPr>
                      <w:tblCellSpacing w:w="15" w:type="dxa"/>
                    </w:trPr>
                    <w:tc>
                      <w:tcPr>
                        <w:tcW w:w="15" w:type="dxa"/>
                        <w:vAlign w:val="center"/>
                        <w:hideMark/>
                      </w:tcPr>
                      <w:p w:rsidR="007020C5" w:rsidRPr="007020C5" w:rsidRDefault="007020C5" w:rsidP="007020C5">
                        <w:pPr>
                          <w:spacing w:after="0" w:line="240" w:lineRule="auto"/>
                          <w:rPr>
                            <w:rFonts w:ascii="Arial Narrow" w:eastAsia="Times New Roman" w:hAnsi="Arial Narrow" w:cs="Times New Roman"/>
                            <w:b/>
                            <w:bCs/>
                            <w:color w:val="FFFFFF"/>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Este procedimiento inicia con la recopilación de la información de Almacén después del cierre y Contabilidad y finaliza con la revisión, verificación y aprobación de la Conciliación. Debe desarrollarse teniendo en cuenta los lineamientos establecidos en el PGCP y emitidos por la CGN.</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bl>
          <w:p w:rsidR="007020C5" w:rsidRPr="007020C5" w:rsidRDefault="007020C5" w:rsidP="007020C5">
            <w:pPr>
              <w:spacing w:after="0" w:line="240" w:lineRule="auto"/>
              <w:rPr>
                <w:rFonts w:ascii="Times New Roman" w:eastAsia="Times New Roman" w:hAnsi="Times New Roman" w:cs="Times New Roman"/>
                <w:sz w:val="24"/>
                <w:szCs w:val="24"/>
                <w:lang w:eastAsia="es-MX"/>
              </w:rPr>
            </w:pPr>
          </w:p>
        </w:tc>
      </w:tr>
      <w:tr w:rsidR="007020C5" w:rsidRPr="007020C5" w:rsidTr="007020C5">
        <w:trPr>
          <w:trHeight w:val="225"/>
          <w:tblCellSpacing w:w="15" w:type="dxa"/>
          <w:jc w:val="center"/>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0"/>
                <w:szCs w:val="20"/>
                <w:lang w:eastAsia="es-MX"/>
              </w:rPr>
            </w:pPr>
          </w:p>
        </w:tc>
      </w:tr>
      <w:tr w:rsidR="007020C5" w:rsidRPr="007020C5" w:rsidTr="007020C5">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7020C5" w:rsidRPr="007020C5">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7020C5" w:rsidRPr="007020C5" w:rsidRDefault="007020C5" w:rsidP="007020C5">
                  <w:pPr>
                    <w:spacing w:after="0" w:line="240" w:lineRule="auto"/>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3. Glosario</w:t>
                  </w: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7020C5" w:rsidRPr="007020C5">
                    <w:trPr>
                      <w:tblCellSpacing w:w="15" w:type="dxa"/>
                    </w:trPr>
                    <w:tc>
                      <w:tcPr>
                        <w:tcW w:w="15" w:type="dxa"/>
                        <w:vAlign w:val="center"/>
                        <w:hideMark/>
                      </w:tcPr>
                      <w:p w:rsidR="007020C5" w:rsidRPr="007020C5" w:rsidRDefault="007020C5" w:rsidP="007020C5">
                        <w:pPr>
                          <w:spacing w:after="0" w:line="240" w:lineRule="auto"/>
                          <w:rPr>
                            <w:rFonts w:ascii="Arial Narrow" w:eastAsia="Times New Roman" w:hAnsi="Arial Narrow" w:cs="Times New Roman"/>
                            <w:b/>
                            <w:bCs/>
                            <w:color w:val="FFFFFF"/>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b/>
                            <w:bCs/>
                            <w:color w:val="000000"/>
                            <w:lang w:eastAsia="es-MX"/>
                          </w:rPr>
                          <w:t>Conciliación</w:t>
                        </w:r>
                        <w:r w:rsidRPr="007020C5">
                          <w:rPr>
                            <w:rFonts w:ascii="Arial Narrow" w:eastAsia="Times New Roman" w:hAnsi="Arial Narrow" w:cs="Times New Roman"/>
                            <w:color w:val="000000"/>
                            <w:lang w:eastAsia="es-MX"/>
                          </w:rPr>
                          <w:t>: Constatar la diferencia entre dos saldos.</w:t>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b/>
                            <w:bCs/>
                            <w:color w:val="000000"/>
                            <w:lang w:eastAsia="es-MX"/>
                          </w:rPr>
                          <w:t>CGN</w:t>
                        </w:r>
                        <w:r w:rsidRPr="007020C5">
                          <w:rPr>
                            <w:rFonts w:ascii="Arial Narrow" w:eastAsia="Times New Roman" w:hAnsi="Arial Narrow" w:cs="Times New Roman"/>
                            <w:color w:val="000000"/>
                            <w:lang w:eastAsia="es-MX"/>
                          </w:rPr>
                          <w:t>: Contaduría General de la Nación.</w:t>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b/>
                            <w:bCs/>
                            <w:color w:val="000000"/>
                            <w:lang w:eastAsia="es-MX"/>
                          </w:rPr>
                          <w:t>Entidades Públicas</w:t>
                        </w:r>
                        <w:r w:rsidRPr="007020C5">
                          <w:rPr>
                            <w:rFonts w:ascii="Arial Narrow" w:eastAsia="Times New Roman" w:hAnsi="Arial Narrow" w:cs="Times New Roman"/>
                            <w:color w:val="000000"/>
                            <w:lang w:eastAsia="es-MX"/>
                          </w:rPr>
                          <w:t>: son las Instituciones y organismos del Gobierno Central, del Gobierno Regional y demás instancias descentralizadas, creadas , incluyendo los fondos, sea de derecho público o privado y las empresas en las que el Estado ejerza el control.</w:t>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b/>
                            <w:bCs/>
                            <w:color w:val="000000"/>
                            <w:lang w:eastAsia="es-MX"/>
                          </w:rPr>
                          <w:t>Información Financiera</w:t>
                        </w:r>
                        <w:r w:rsidRPr="007020C5">
                          <w:rPr>
                            <w:rFonts w:ascii="Arial Narrow" w:eastAsia="Times New Roman" w:hAnsi="Arial Narrow" w:cs="Times New Roman"/>
                            <w:color w:val="000000"/>
                            <w:lang w:eastAsia="es-MX"/>
                          </w:rPr>
                          <w:t>: es la información de tipo financiero que permite obtener en cualquier momento la información ordenada y sistemática sobre el desenvolvimiento económico y financiero de la Entidad, y establece en términos monetarios, la cuantía de los bienes, deudas, patrimonio, ingresos y egresos que se generan, facilitando la planeación, ya que no solamente da a conocer los efectos de una operación, sino que permite prever situaciones futuras.</w:t>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b/>
                            <w:bCs/>
                            <w:color w:val="000000"/>
                            <w:lang w:eastAsia="es-MX"/>
                          </w:rPr>
                          <w:t>PGCP</w:t>
                        </w:r>
                        <w:r w:rsidRPr="007020C5">
                          <w:rPr>
                            <w:rFonts w:ascii="Arial Narrow" w:eastAsia="Times New Roman" w:hAnsi="Arial Narrow" w:cs="Times New Roman"/>
                            <w:color w:val="000000"/>
                            <w:lang w:eastAsia="es-MX"/>
                          </w:rPr>
                          <w:t xml:space="preserve">: Plan General de Contabilidad </w:t>
                        </w:r>
                        <w:proofErr w:type="spellStart"/>
                        <w:r w:rsidRPr="007020C5">
                          <w:rPr>
                            <w:rFonts w:ascii="Arial Narrow" w:eastAsia="Times New Roman" w:hAnsi="Arial Narrow" w:cs="Times New Roman"/>
                            <w:color w:val="000000"/>
                            <w:lang w:eastAsia="es-MX"/>
                          </w:rPr>
                          <w:t>Publica</w:t>
                        </w:r>
                        <w:proofErr w:type="spellEnd"/>
                        <w:r w:rsidRPr="007020C5">
                          <w:rPr>
                            <w:rFonts w:ascii="Arial Narrow" w:eastAsia="Times New Roman" w:hAnsi="Arial Narrow" w:cs="Times New Roman"/>
                            <w:color w:val="000000"/>
                            <w:lang w:eastAsia="es-MX"/>
                          </w:rPr>
                          <w:t>.</w:t>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b/>
                            <w:bCs/>
                            <w:color w:val="000000"/>
                            <w:lang w:eastAsia="es-MX"/>
                          </w:rPr>
                          <w:t>SIIF Nación</w:t>
                        </w:r>
                        <w:r w:rsidRPr="007020C5">
                          <w:rPr>
                            <w:rFonts w:ascii="Arial Narrow" w:eastAsia="Times New Roman" w:hAnsi="Arial Narrow" w:cs="Times New Roman"/>
                            <w:color w:val="000000"/>
                            <w:lang w:eastAsia="es-MX"/>
                          </w:rPr>
                          <w:t>: Sistema Integrado de Información Financiera - SIIF Nación constituye una iniciativa del Ministerio de Hacienda y Crédito Público que permite a la Nación consolidar la información financiera de las Entidades públicas, que conforman el Presupuesto General de la Nación y ejercer el control de la ejecución presupuestal y financiera de las Entidades pertenecientes a la Administración Central Nacional y sus subunidades descentralizada, con el fin de propiciar una mayor eficiencia en el uso de los recursos de la Nación y de brindar</w:t>
                        </w:r>
                        <w:r w:rsidRPr="007020C5">
                          <w:rPr>
                            <w:rFonts w:ascii="Arial Narrow" w:eastAsia="Times New Roman" w:hAnsi="Arial Narrow" w:cs="Times New Roman"/>
                            <w:color w:val="000000"/>
                            <w:lang w:eastAsia="es-MX"/>
                          </w:rPr>
                          <w:br/>
                          <w:t>información oportuna y confiable.</w:t>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b/>
                            <w:bCs/>
                            <w:color w:val="000000"/>
                            <w:lang w:eastAsia="es-MX"/>
                          </w:rPr>
                          <w:t>Software de Apoyo PCT Enterprise-Modulo Almacén</w:t>
                        </w:r>
                        <w:r w:rsidRPr="007020C5">
                          <w:rPr>
                            <w:rFonts w:ascii="Arial Narrow" w:eastAsia="Times New Roman" w:hAnsi="Arial Narrow" w:cs="Times New Roman"/>
                            <w:color w:val="000000"/>
                            <w:lang w:eastAsia="es-MX"/>
                          </w:rPr>
                          <w:t>: software de apoyo para la administración de Bienes e Inmuebles de la Entidad.</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bl>
          <w:p w:rsidR="007020C5" w:rsidRPr="007020C5" w:rsidRDefault="007020C5" w:rsidP="007020C5">
            <w:pPr>
              <w:spacing w:after="0" w:line="240" w:lineRule="auto"/>
              <w:rPr>
                <w:rFonts w:ascii="Times New Roman" w:eastAsia="Times New Roman" w:hAnsi="Times New Roman" w:cs="Times New Roman"/>
                <w:sz w:val="24"/>
                <w:szCs w:val="24"/>
                <w:lang w:eastAsia="es-MX"/>
              </w:rPr>
            </w:pPr>
          </w:p>
        </w:tc>
      </w:tr>
      <w:tr w:rsidR="007020C5" w:rsidRPr="007020C5" w:rsidTr="007020C5">
        <w:trPr>
          <w:trHeight w:val="225"/>
          <w:tblCellSpacing w:w="15" w:type="dxa"/>
          <w:jc w:val="center"/>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0"/>
                <w:szCs w:val="20"/>
                <w:lang w:eastAsia="es-MX"/>
              </w:rPr>
            </w:pPr>
          </w:p>
        </w:tc>
      </w:tr>
      <w:tr w:rsidR="007020C5" w:rsidRPr="007020C5" w:rsidTr="007020C5">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7020C5" w:rsidRPr="007020C5">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7020C5" w:rsidRPr="007020C5" w:rsidRDefault="007020C5" w:rsidP="007020C5">
                  <w:pPr>
                    <w:spacing w:after="0" w:line="240" w:lineRule="auto"/>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lastRenderedPageBreak/>
                    <w:t>4. Marco Legal</w:t>
                  </w: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7020C5" w:rsidRPr="007020C5">
                    <w:trPr>
                      <w:tblCellSpacing w:w="15" w:type="dxa"/>
                    </w:trPr>
                    <w:tc>
                      <w:tcPr>
                        <w:tcW w:w="15" w:type="dxa"/>
                        <w:vAlign w:val="center"/>
                        <w:hideMark/>
                      </w:tcPr>
                      <w:p w:rsidR="007020C5" w:rsidRPr="007020C5" w:rsidRDefault="007020C5" w:rsidP="007020C5">
                        <w:pPr>
                          <w:spacing w:after="0" w:line="240" w:lineRule="auto"/>
                          <w:rPr>
                            <w:rFonts w:ascii="Arial Narrow" w:eastAsia="Times New Roman" w:hAnsi="Arial Narrow" w:cs="Times New Roman"/>
                            <w:b/>
                            <w:bCs/>
                            <w:color w:val="FFFFFF"/>
                            <w:lang w:eastAsia="es-MX"/>
                          </w:rPr>
                        </w:pPr>
                      </w:p>
                    </w:tc>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0"/>
                          <w:gridCol w:w="8406"/>
                        </w:tblGrid>
                        <w:tr w:rsidR="007020C5" w:rsidRPr="007020C5">
                          <w:trPr>
                            <w:tblCellSpacing w:w="15" w:type="dxa"/>
                          </w:trPr>
                          <w:tc>
                            <w:tcPr>
                              <w:tcW w:w="15" w:type="dxa"/>
                              <w:hideMark/>
                            </w:tcPr>
                            <w:p w:rsidR="007020C5" w:rsidRPr="007020C5" w:rsidRDefault="007020C5" w:rsidP="007020C5">
                              <w:pPr>
                                <w:spacing w:after="0" w:line="240" w:lineRule="auto"/>
                                <w:jc w:val="both"/>
                                <w:rPr>
                                  <w:rFonts w:ascii="Arial Narrow" w:eastAsia="Times New Roman" w:hAnsi="Arial Narrow" w:cs="Times New Roman"/>
                                  <w:color w:val="0000FF"/>
                                  <w:lang w:eastAsia="es-MX"/>
                                </w:rPr>
                              </w:pPr>
                              <w:r w:rsidRPr="007020C5">
                                <w:rPr>
                                  <w:rFonts w:ascii="Arial Narrow" w:eastAsia="Times New Roman" w:hAnsi="Arial Narrow" w:cs="Times New Roman"/>
                                  <w:color w:val="0000FF"/>
                                  <w:lang w:eastAsia="es-MX"/>
                                </w:rPr>
                                <w:t>•</w:t>
                              </w: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hyperlink r:id="rId6" w:history="1">
                                <w:r w:rsidRPr="007020C5">
                                  <w:rPr>
                                    <w:rFonts w:ascii="Arial Narrow" w:eastAsia="Times New Roman" w:hAnsi="Arial Narrow" w:cs="Times New Roman"/>
                                    <w:color w:val="0000FF"/>
                                    <w:u w:val="single"/>
                                    <w:lang w:eastAsia="es-MX"/>
                                  </w:rPr>
                                  <w:t xml:space="preserve">Ver </w:t>
                                </w:r>
                                <w:proofErr w:type="spellStart"/>
                                <w:r w:rsidRPr="007020C5">
                                  <w:rPr>
                                    <w:rFonts w:ascii="Arial Narrow" w:eastAsia="Times New Roman" w:hAnsi="Arial Narrow" w:cs="Times New Roman"/>
                                    <w:color w:val="0000FF"/>
                                    <w:u w:val="single"/>
                                    <w:lang w:eastAsia="es-MX"/>
                                  </w:rPr>
                                  <w:t>Normograma</w:t>
                                </w:r>
                                <w:proofErr w:type="spellEnd"/>
                                <w:r w:rsidRPr="007020C5">
                                  <w:rPr>
                                    <w:rFonts w:ascii="Arial Narrow" w:eastAsia="Times New Roman" w:hAnsi="Arial Narrow" w:cs="Times New Roman"/>
                                    <w:color w:val="0000FF"/>
                                    <w:u w:val="single"/>
                                    <w:lang w:eastAsia="es-MX"/>
                                  </w:rPr>
                                  <w:t xml:space="preserve"> del Instituto Nacional </w:t>
                                </w:r>
                                <w:proofErr w:type="spellStart"/>
                                <w:r w:rsidRPr="007020C5">
                                  <w:rPr>
                                    <w:rFonts w:ascii="Arial Narrow" w:eastAsia="Times New Roman" w:hAnsi="Arial Narrow" w:cs="Times New Roman"/>
                                    <w:color w:val="0000FF"/>
                                    <w:u w:val="single"/>
                                    <w:lang w:eastAsia="es-MX"/>
                                  </w:rPr>
                                  <w:t>Penitenciaro</w:t>
                                </w:r>
                                <w:proofErr w:type="spellEnd"/>
                                <w:r w:rsidRPr="007020C5">
                                  <w:rPr>
                                    <w:rFonts w:ascii="Arial Narrow" w:eastAsia="Times New Roman" w:hAnsi="Arial Narrow" w:cs="Times New Roman"/>
                                    <w:color w:val="0000FF"/>
                                    <w:u w:val="single"/>
                                    <w:lang w:eastAsia="es-MX"/>
                                  </w:rPr>
                                  <w:t xml:space="preserve"> y Carcelario</w:t>
                                </w:r>
                              </w:hyperlink>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bl>
          <w:p w:rsidR="007020C5" w:rsidRPr="007020C5" w:rsidRDefault="007020C5" w:rsidP="007020C5">
            <w:pPr>
              <w:spacing w:after="0" w:line="240" w:lineRule="auto"/>
              <w:rPr>
                <w:rFonts w:ascii="Times New Roman" w:eastAsia="Times New Roman" w:hAnsi="Times New Roman" w:cs="Times New Roman"/>
                <w:sz w:val="24"/>
                <w:szCs w:val="24"/>
                <w:lang w:eastAsia="es-MX"/>
              </w:rPr>
            </w:pPr>
          </w:p>
        </w:tc>
      </w:tr>
      <w:tr w:rsidR="007020C5" w:rsidRPr="007020C5" w:rsidTr="007020C5">
        <w:trPr>
          <w:trHeight w:val="225"/>
          <w:tblCellSpacing w:w="15" w:type="dxa"/>
          <w:jc w:val="center"/>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0"/>
                <w:szCs w:val="20"/>
                <w:lang w:eastAsia="es-MX"/>
              </w:rPr>
            </w:pPr>
          </w:p>
        </w:tc>
      </w:tr>
      <w:tr w:rsidR="007020C5" w:rsidRPr="007020C5" w:rsidTr="007020C5">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7020C5" w:rsidRPr="007020C5">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7020C5" w:rsidRPr="007020C5" w:rsidRDefault="007020C5" w:rsidP="007020C5">
                  <w:pPr>
                    <w:spacing w:after="0" w:line="240" w:lineRule="auto"/>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5. Flujograma</w:t>
                  </w: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8702"/>
                  </w:tblGrid>
                  <w:tr w:rsidR="007020C5" w:rsidRPr="007020C5">
                    <w:trPr>
                      <w:tblCellSpacing w:w="0" w:type="dxa"/>
                    </w:trPr>
                    <w:tc>
                      <w:tcPr>
                        <w:tcW w:w="0" w:type="auto"/>
                        <w:vAlign w:val="center"/>
                        <w:hideMark/>
                      </w:tcPr>
                      <w:p w:rsidR="007020C5" w:rsidRPr="007020C5" w:rsidRDefault="007020C5" w:rsidP="007020C5">
                        <w:pPr>
                          <w:spacing w:after="0" w:line="240" w:lineRule="auto"/>
                          <w:jc w:val="center"/>
                          <w:rPr>
                            <w:rFonts w:ascii="Times New Roman" w:eastAsia="Times New Roman" w:hAnsi="Times New Roman" w:cs="Times New Roman"/>
                            <w:sz w:val="24"/>
                            <w:szCs w:val="24"/>
                            <w:lang w:eastAsia="es-MX"/>
                          </w:rPr>
                        </w:pPr>
                        <w:r w:rsidRPr="007020C5">
                          <w:rPr>
                            <w:rFonts w:ascii="Times New Roman" w:eastAsia="Times New Roman" w:hAnsi="Times New Roman" w:cs="Times New Roman"/>
                            <w:noProof/>
                            <w:sz w:val="24"/>
                            <w:szCs w:val="24"/>
                            <w:lang w:eastAsia="es-MX"/>
                          </w:rPr>
                          <w:drawing>
                            <wp:inline distT="0" distB="0" distL="0" distR="0">
                              <wp:extent cx="7922260" cy="3474720"/>
                              <wp:effectExtent l="0" t="0" r="2540" b="0"/>
                              <wp:docPr id="1" name="Imagen 1" descr="http://isolucion.inpec.gov.co/Isolucion4Inpec/BancoConocimiento4INPEC/6/698AB707-B1E4-4CE2-B2C9-7117163BDE55/flujograma%2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olucion.inpec.gov.co/Isolucion4Inpec/BancoConocimiento4INPEC/6/698AB707-B1E4-4CE2-B2C9-7117163BDE55/flujograma%20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2260" cy="3474720"/>
                                      </a:xfrm>
                                      <a:prstGeom prst="rect">
                                        <a:avLst/>
                                      </a:prstGeom>
                                      <a:noFill/>
                                      <a:ln>
                                        <a:noFill/>
                                      </a:ln>
                                    </pic:spPr>
                                  </pic:pic>
                                </a:graphicData>
                              </a:graphic>
                            </wp:inline>
                          </w:drawing>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bl>
          <w:p w:rsidR="007020C5" w:rsidRPr="007020C5" w:rsidRDefault="007020C5" w:rsidP="007020C5">
            <w:pPr>
              <w:spacing w:after="0" w:line="240" w:lineRule="auto"/>
              <w:rPr>
                <w:rFonts w:ascii="Times New Roman" w:eastAsia="Times New Roman" w:hAnsi="Times New Roman" w:cs="Times New Roman"/>
                <w:sz w:val="24"/>
                <w:szCs w:val="24"/>
                <w:lang w:eastAsia="es-MX"/>
              </w:rPr>
            </w:pPr>
          </w:p>
        </w:tc>
      </w:tr>
      <w:tr w:rsidR="007020C5" w:rsidRPr="007020C5" w:rsidTr="007020C5">
        <w:trPr>
          <w:trHeight w:val="225"/>
          <w:tblCellSpacing w:w="15" w:type="dxa"/>
          <w:jc w:val="center"/>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0"/>
                <w:szCs w:val="20"/>
                <w:lang w:eastAsia="es-MX"/>
              </w:rPr>
            </w:pPr>
          </w:p>
        </w:tc>
      </w:tr>
      <w:tr w:rsidR="007020C5" w:rsidRPr="007020C5" w:rsidTr="007020C5">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437"/>
              <w:gridCol w:w="2183"/>
              <w:gridCol w:w="2183"/>
              <w:gridCol w:w="1921"/>
              <w:gridCol w:w="2008"/>
            </w:tblGrid>
            <w:tr w:rsidR="007020C5" w:rsidRPr="007020C5">
              <w:trPr>
                <w:trHeight w:val="375"/>
                <w:tblCellSpacing w:w="0" w:type="dxa"/>
              </w:trPr>
              <w:tc>
                <w:tcPr>
                  <w:tcW w:w="0" w:type="auto"/>
                  <w:gridSpan w:val="5"/>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7020C5" w:rsidRPr="007020C5" w:rsidRDefault="007020C5" w:rsidP="007020C5">
                  <w:pPr>
                    <w:spacing w:after="0" w:line="240" w:lineRule="auto"/>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6. Detalle de las actividades</w:t>
                  </w:r>
                </w:p>
              </w:tc>
            </w:tr>
            <w:tr w:rsidR="007020C5" w:rsidRPr="007020C5">
              <w:trPr>
                <w:trHeight w:val="375"/>
                <w:tblCellSpacing w:w="0" w:type="dxa"/>
              </w:trPr>
              <w:tc>
                <w:tcPr>
                  <w:tcW w:w="2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Nº</w:t>
                  </w:r>
                </w:p>
              </w:tc>
              <w:tc>
                <w:tcPr>
                  <w:tcW w:w="12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Actividad</w:t>
                  </w:r>
                </w:p>
              </w:tc>
              <w:tc>
                <w:tcPr>
                  <w:tcW w:w="12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Descripción</w:t>
                  </w:r>
                </w:p>
              </w:tc>
              <w:tc>
                <w:tcPr>
                  <w:tcW w:w="110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Punto de Control</w:t>
                  </w:r>
                </w:p>
              </w:tc>
              <w:tc>
                <w:tcPr>
                  <w:tcW w:w="11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Responsable</w:t>
                  </w: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r w:rsidRPr="007020C5">
                    <w:rPr>
                      <w:rFonts w:ascii="Arial Narrow" w:eastAsia="Times New Roman" w:hAnsi="Arial Narrow" w:cs="Times New Roman"/>
                      <w:b/>
                      <w:bCs/>
                      <w:color w:val="000000"/>
                      <w:sz w:val="24"/>
                      <w:szCs w:val="24"/>
                      <w:lang w:eastAsia="es-MX"/>
                    </w:rPr>
                    <w:t>1</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7020C5" w:rsidRPr="007020C5">
                    <w:trPr>
                      <w:tblCellSpacing w:w="15" w:type="dxa"/>
                    </w:trPr>
                    <w:tc>
                      <w:tcPr>
                        <w:tcW w:w="15" w:type="dx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Recopilar Información.</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La información financiera base para este procedimiento parte de Almacén después del cierre, quien se encargada del registro de los Inventarios del INPEC.</w:t>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t>La conciliación se realiza mensualmente después del cierre del Almacén General y Contabilidad.</w:t>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t xml:space="preserve">Inicialmente se efectúa la Conciliación entre Sistema de Información </w:t>
                        </w:r>
                        <w:r w:rsidRPr="007020C5">
                          <w:rPr>
                            <w:rFonts w:ascii="Arial Narrow" w:eastAsia="Times New Roman" w:hAnsi="Arial Narrow" w:cs="Times New Roman"/>
                            <w:color w:val="000000"/>
                            <w:lang w:eastAsia="es-MX"/>
                          </w:rPr>
                          <w:lastRenderedPageBreak/>
                          <w:t>PCT Enterprise-Módulo Almacén y el Sistema SIIF Nación II.</w:t>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t>A continuación, se descargan los siguientes informes del Software de Apoyo PCT Enterprise:</w:t>
                        </w:r>
                      </w:p>
                      <w:p w:rsidR="007020C5" w:rsidRPr="007020C5" w:rsidRDefault="007020C5" w:rsidP="007020C5">
                        <w:pPr>
                          <w:numPr>
                            <w:ilvl w:val="0"/>
                            <w:numId w:val="1"/>
                          </w:numPr>
                          <w:spacing w:before="100" w:beforeAutospacing="1" w:after="100" w:afterAutospacing="1"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Módulo Almacén,</w:t>
                        </w:r>
                      </w:p>
                      <w:p w:rsidR="007020C5" w:rsidRPr="007020C5" w:rsidRDefault="007020C5" w:rsidP="007020C5">
                        <w:pPr>
                          <w:numPr>
                            <w:ilvl w:val="0"/>
                            <w:numId w:val="1"/>
                          </w:numPr>
                          <w:spacing w:before="100" w:beforeAutospacing="1" w:after="100" w:afterAutospacing="1"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Módulo Contabilidad y</w:t>
                        </w:r>
                      </w:p>
                      <w:p w:rsidR="007020C5" w:rsidRPr="007020C5" w:rsidRDefault="007020C5" w:rsidP="007020C5">
                        <w:pPr>
                          <w:numPr>
                            <w:ilvl w:val="0"/>
                            <w:numId w:val="1"/>
                          </w:numPr>
                          <w:spacing w:before="100" w:beforeAutospacing="1" w:after="100" w:afterAutospacing="1"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Sistema SIIF Nación:</w:t>
                        </w:r>
                      </w:p>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br/>
                          <w:t>Los Reportes del Sistema de Información PCT Enterprise, contienen:</w:t>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t>1. Modulo Almacén:</w:t>
                        </w:r>
                      </w:p>
                      <w:p w:rsidR="007020C5" w:rsidRPr="007020C5" w:rsidRDefault="007020C5" w:rsidP="007020C5">
                        <w:pPr>
                          <w:numPr>
                            <w:ilvl w:val="0"/>
                            <w:numId w:val="2"/>
                          </w:numPr>
                          <w:spacing w:before="100" w:beforeAutospacing="1" w:after="100" w:afterAutospacing="1"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Reporte Elementos Devolutivos por Placa, de cada una de las bodegas: Almacén, Automotor y Armamento.</w:t>
                        </w:r>
                      </w:p>
                      <w:p w:rsidR="007020C5" w:rsidRPr="007020C5" w:rsidRDefault="007020C5" w:rsidP="007020C5">
                        <w:pPr>
                          <w:numPr>
                            <w:ilvl w:val="0"/>
                            <w:numId w:val="2"/>
                          </w:numPr>
                          <w:spacing w:before="100" w:beforeAutospacing="1" w:after="100" w:afterAutospacing="1"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Reporte Elementos de Consumo.</w:t>
                        </w:r>
                      </w:p>
                      <w:p w:rsidR="007020C5" w:rsidRPr="007020C5" w:rsidRDefault="007020C5" w:rsidP="007020C5">
                        <w:pPr>
                          <w:numPr>
                            <w:ilvl w:val="0"/>
                            <w:numId w:val="2"/>
                          </w:numPr>
                          <w:spacing w:before="100" w:beforeAutospacing="1" w:after="100" w:afterAutospacing="1"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Reporte Existencias de Elementos Devolutivos en Bodega</w:t>
                        </w:r>
                      </w:p>
                      <w:p w:rsidR="007020C5" w:rsidRPr="007020C5" w:rsidRDefault="007020C5" w:rsidP="007020C5">
                        <w:pPr>
                          <w:numPr>
                            <w:ilvl w:val="0"/>
                            <w:numId w:val="2"/>
                          </w:numPr>
                          <w:spacing w:before="100" w:beforeAutospacing="1" w:after="100" w:afterAutospacing="1"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Reporte Movimientos por Categoría.</w:t>
                        </w:r>
                      </w:p>
                      <w:p w:rsidR="007020C5" w:rsidRPr="007020C5" w:rsidRDefault="007020C5" w:rsidP="007020C5">
                        <w:pPr>
                          <w:numPr>
                            <w:ilvl w:val="0"/>
                            <w:numId w:val="2"/>
                          </w:numPr>
                          <w:spacing w:before="100" w:beforeAutospacing="1" w:after="100" w:afterAutospacing="1"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Reporte Movimientos Diarios por Fechas.</w:t>
                        </w:r>
                      </w:p>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lastRenderedPageBreak/>
                          <w:br/>
                          <w:t xml:space="preserve">2.- Modulo </w:t>
                        </w:r>
                        <w:proofErr w:type="gramStart"/>
                        <w:r w:rsidRPr="007020C5">
                          <w:rPr>
                            <w:rFonts w:ascii="Arial Narrow" w:eastAsia="Times New Roman" w:hAnsi="Arial Narrow" w:cs="Times New Roman"/>
                            <w:color w:val="000000"/>
                            <w:lang w:eastAsia="es-MX"/>
                          </w:rPr>
                          <w:t>Contabilidad :</w:t>
                        </w:r>
                        <w:proofErr w:type="gramEnd"/>
                      </w:p>
                      <w:p w:rsidR="007020C5" w:rsidRPr="007020C5" w:rsidRDefault="007020C5" w:rsidP="007020C5">
                        <w:pPr>
                          <w:numPr>
                            <w:ilvl w:val="0"/>
                            <w:numId w:val="3"/>
                          </w:numPr>
                          <w:spacing w:before="100" w:beforeAutospacing="1" w:after="100" w:afterAutospacing="1"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Reporte de Comprobantes de Entradas, Salidas y Notas de Almacén.</w:t>
                        </w:r>
                      </w:p>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br/>
                          <w:t>3.- Reporte SIIF Nación:</w:t>
                        </w:r>
                      </w:p>
                      <w:p w:rsidR="007020C5" w:rsidRPr="007020C5" w:rsidRDefault="007020C5" w:rsidP="007020C5">
                        <w:pPr>
                          <w:spacing w:after="240" w:line="240" w:lineRule="auto"/>
                          <w:ind w:left="720"/>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Perfil Gestión Contable:</w:t>
                        </w:r>
                      </w:p>
                      <w:p w:rsidR="007020C5" w:rsidRPr="007020C5" w:rsidRDefault="007020C5" w:rsidP="007020C5">
                        <w:pPr>
                          <w:numPr>
                            <w:ilvl w:val="0"/>
                            <w:numId w:val="4"/>
                          </w:numPr>
                          <w:spacing w:before="100" w:beforeAutospacing="1" w:after="100" w:afterAutospacing="1"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Reporte Consolidado de Libro Diario.</w:t>
                        </w:r>
                      </w:p>
                      <w:p w:rsidR="007020C5" w:rsidRPr="007020C5" w:rsidRDefault="007020C5" w:rsidP="007020C5">
                        <w:pPr>
                          <w:numPr>
                            <w:ilvl w:val="0"/>
                            <w:numId w:val="4"/>
                          </w:numPr>
                          <w:spacing w:before="100" w:beforeAutospacing="1" w:after="100" w:afterAutospacing="1"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Consulta Saldos y Movimientos por PCI.</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10"/>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Informes del Sistema de Información PCT Enterprise.</w:t>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t>Archivo electrónico.</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Profesional universitario del Grupo Contable.</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r w:rsidRPr="007020C5">
                    <w:rPr>
                      <w:rFonts w:ascii="Arial Narrow" w:eastAsia="Times New Roman" w:hAnsi="Arial Narrow" w:cs="Times New Roman"/>
                      <w:b/>
                      <w:bCs/>
                      <w:color w:val="000000"/>
                      <w:sz w:val="24"/>
                      <w:szCs w:val="24"/>
                      <w:lang w:eastAsia="es-MX"/>
                    </w:rPr>
                    <w:lastRenderedPageBreak/>
                    <w:t>2</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7020C5" w:rsidRPr="007020C5">
                    <w:trPr>
                      <w:tblCellSpacing w:w="15" w:type="dxa"/>
                    </w:trPr>
                    <w:tc>
                      <w:tcPr>
                        <w:tcW w:w="15" w:type="dx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Conciliar.</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Para la realizar la Conciliación Almacén se deben identificar las categorías de Software de Apoyo PCT Enterprise con las cuentas contables de SIIF Nación y registrar los valores en el Formato de Conciliación, de acuerdo a la información reflejada en los reportes descargados.</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10"/>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Formato Conciliación PCT Almacén y SIIF Nación.</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Profesional universitario del Grupo Contable.</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r w:rsidRPr="007020C5">
                    <w:rPr>
                      <w:rFonts w:ascii="Arial Narrow" w:eastAsia="Times New Roman" w:hAnsi="Arial Narrow" w:cs="Times New Roman"/>
                      <w:b/>
                      <w:bCs/>
                      <w:color w:val="000000"/>
                      <w:sz w:val="24"/>
                      <w:szCs w:val="24"/>
                      <w:lang w:eastAsia="es-MX"/>
                    </w:rPr>
                    <w:t>3</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7020C5" w:rsidRPr="007020C5">
                    <w:trPr>
                      <w:tblCellSpacing w:w="15" w:type="dxa"/>
                    </w:trPr>
                    <w:tc>
                      <w:tcPr>
                        <w:tcW w:w="15" w:type="dx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Contabilizar.</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Identificados los movimientos realizados durante el mes en el Almacén de cada una de las bodegas y con los correspondientes soportes se realiza el respectivo registro contable, describiendo en el concepto número de documento y soporte de porque se realiza el registro contable.</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10"/>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Registro Contable.</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Profesional universitario del Grupo Contable.</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r w:rsidRPr="007020C5">
                    <w:rPr>
                      <w:rFonts w:ascii="Arial Narrow" w:eastAsia="Times New Roman" w:hAnsi="Arial Narrow" w:cs="Times New Roman"/>
                      <w:b/>
                      <w:bCs/>
                      <w:color w:val="000000"/>
                      <w:sz w:val="24"/>
                      <w:szCs w:val="24"/>
                      <w:lang w:eastAsia="es-MX"/>
                    </w:rPr>
                    <w:lastRenderedPageBreak/>
                    <w:t>4</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7020C5" w:rsidRPr="007020C5">
                    <w:trPr>
                      <w:tblCellSpacing w:w="15" w:type="dxa"/>
                    </w:trPr>
                    <w:tc>
                      <w:tcPr>
                        <w:tcW w:w="15" w:type="dx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Revisar, verificar y aprobar o no la conciliación.</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La información de la Conciliación entre el Software de Apoyo PCT Enterprise y SIIF Nación, lo revisa la Coordinadora del Grupo Contable verificando los documentos soporte y los registros contables para su aprobación.</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Coordinador del Grupo Contable.</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r w:rsidRPr="007020C5">
                    <w:rPr>
                      <w:rFonts w:ascii="Arial Narrow" w:eastAsia="Times New Roman" w:hAnsi="Arial Narrow" w:cs="Times New Roman"/>
                      <w:b/>
                      <w:bCs/>
                      <w:color w:val="000000"/>
                      <w:sz w:val="24"/>
                      <w:szCs w:val="24"/>
                      <w:lang w:eastAsia="es-MX"/>
                    </w:rPr>
                    <w:t>5</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¿Se aprueba el registro contable?</w:t>
                        </w:r>
                        <w:r w:rsidRPr="007020C5">
                          <w:rPr>
                            <w:rFonts w:ascii="Arial Narrow" w:eastAsia="Times New Roman" w:hAnsi="Arial Narrow" w:cs="Times New Roman"/>
                            <w:color w:val="000000"/>
                            <w:lang w:eastAsia="es-MX"/>
                          </w:rPr>
                          <w:br/>
                        </w:r>
                        <w:r w:rsidRPr="007020C5">
                          <w:rPr>
                            <w:rFonts w:ascii="Arial Narrow" w:eastAsia="Times New Roman" w:hAnsi="Arial Narrow" w:cs="Times New Roman"/>
                            <w:color w:val="000000"/>
                            <w:lang w:eastAsia="es-MX"/>
                          </w:rPr>
                          <w:br/>
                          <w:t>Si. Continua en la Actividad No. 6.</w:t>
                        </w:r>
                        <w:r w:rsidRPr="007020C5">
                          <w:rPr>
                            <w:rFonts w:ascii="Arial Narrow" w:eastAsia="Times New Roman" w:hAnsi="Arial Narrow" w:cs="Times New Roman"/>
                            <w:color w:val="000000"/>
                            <w:lang w:eastAsia="es-MX"/>
                          </w:rPr>
                          <w:br/>
                          <w:t>No. Continua en la actividad No. 7.</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Coordinador del Grupo Contable.</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r w:rsidRPr="007020C5">
                    <w:rPr>
                      <w:rFonts w:ascii="Arial Narrow" w:eastAsia="Times New Roman" w:hAnsi="Arial Narrow" w:cs="Times New Roman"/>
                      <w:b/>
                      <w:bCs/>
                      <w:color w:val="000000"/>
                      <w:sz w:val="24"/>
                      <w:szCs w:val="24"/>
                      <w:lang w:eastAsia="es-MX"/>
                    </w:rPr>
                    <w:t>6</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7020C5" w:rsidRPr="007020C5">
                    <w:trPr>
                      <w:tblCellSpacing w:w="15" w:type="dxa"/>
                    </w:trPr>
                    <w:tc>
                      <w:tcPr>
                        <w:tcW w:w="15" w:type="dx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Registro contabilizado.</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Una vez el Coordinador del Grupo Contable aprueba el registro, este queda contabilizado. FIN.</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Coordinador del Grupo Contable.</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r w:rsidRPr="007020C5">
                    <w:rPr>
                      <w:rFonts w:ascii="Arial Narrow" w:eastAsia="Times New Roman" w:hAnsi="Arial Narrow" w:cs="Times New Roman"/>
                      <w:b/>
                      <w:bCs/>
                      <w:color w:val="000000"/>
                      <w:sz w:val="24"/>
                      <w:szCs w:val="24"/>
                      <w:lang w:eastAsia="es-MX"/>
                    </w:rPr>
                    <w:t>7</w:t>
                  </w: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7020C5" w:rsidRPr="007020C5">
                    <w:trPr>
                      <w:tblCellSpacing w:w="15" w:type="dxa"/>
                    </w:trPr>
                    <w:tc>
                      <w:tcPr>
                        <w:tcW w:w="15" w:type="dx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000000"/>
                            <w:sz w:val="24"/>
                            <w:szCs w:val="24"/>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Revisar y ajustar el registro contables.</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2072"/>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En caso de que el registro contable no esté quede aprobado por la coordinadora este serán devuelto al Profesional universitario del Grupo Contable, para revisión de los documentos soportes, hacer las correcciones necesarias y volver a entregar para revisión y aprobación. Continua en la actividad No. 4.</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1897"/>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Times New Roman" w:eastAsia="Times New Roman" w:hAnsi="Times New Roman" w:cs="Times New Roman"/>
                            <w:sz w:val="20"/>
                            <w:szCs w:val="20"/>
                            <w:lang w:eastAsia="es-MX"/>
                          </w:rPr>
                        </w:pP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Profesional universitario del Grupo Contable.</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bl>
          <w:p w:rsidR="007020C5" w:rsidRPr="007020C5" w:rsidRDefault="007020C5" w:rsidP="007020C5">
            <w:pPr>
              <w:spacing w:after="0" w:line="240" w:lineRule="auto"/>
              <w:rPr>
                <w:rFonts w:ascii="Times New Roman" w:eastAsia="Times New Roman" w:hAnsi="Times New Roman" w:cs="Times New Roman"/>
                <w:sz w:val="24"/>
                <w:szCs w:val="24"/>
                <w:lang w:eastAsia="es-MX"/>
              </w:rPr>
            </w:pPr>
          </w:p>
        </w:tc>
      </w:tr>
      <w:tr w:rsidR="007020C5" w:rsidRPr="007020C5" w:rsidTr="007020C5">
        <w:trPr>
          <w:trHeight w:val="225"/>
          <w:tblCellSpacing w:w="15" w:type="dxa"/>
          <w:jc w:val="center"/>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0"/>
                <w:szCs w:val="20"/>
                <w:lang w:eastAsia="es-MX"/>
              </w:rPr>
            </w:pPr>
          </w:p>
        </w:tc>
      </w:tr>
      <w:tr w:rsidR="007020C5" w:rsidRPr="007020C5" w:rsidTr="007020C5">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8732"/>
            </w:tblGrid>
            <w:tr w:rsidR="007020C5" w:rsidRPr="007020C5">
              <w:trPr>
                <w:trHeight w:val="375"/>
                <w:tblCellSpacing w:w="0" w:type="dxa"/>
              </w:trPr>
              <w:tc>
                <w:tcPr>
                  <w:tcW w:w="0" w:type="auto"/>
                  <w:tcBorders>
                    <w:top w:val="outset" w:sz="6" w:space="0" w:color="004C5A"/>
                    <w:left w:val="outset" w:sz="6" w:space="0" w:color="004C5A"/>
                    <w:bottom w:val="outset" w:sz="6" w:space="0" w:color="004C5A"/>
                    <w:right w:val="outset" w:sz="6" w:space="0" w:color="004C5A"/>
                  </w:tcBorders>
                  <w:shd w:val="clear" w:color="auto" w:fill="004C5A"/>
                  <w:tcMar>
                    <w:top w:w="0" w:type="dxa"/>
                    <w:left w:w="135" w:type="dxa"/>
                    <w:bottom w:w="0" w:type="dxa"/>
                    <w:right w:w="0" w:type="dxa"/>
                  </w:tcMar>
                  <w:vAlign w:val="center"/>
                  <w:hideMark/>
                </w:tcPr>
                <w:p w:rsidR="007020C5" w:rsidRPr="007020C5" w:rsidRDefault="007020C5" w:rsidP="007020C5">
                  <w:pPr>
                    <w:spacing w:after="0" w:line="240" w:lineRule="auto"/>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7. Anexos</w:t>
                  </w: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7020C5" w:rsidRPr="007020C5">
                    <w:trPr>
                      <w:tblCellSpacing w:w="15" w:type="dxa"/>
                    </w:trPr>
                    <w:tc>
                      <w:tcPr>
                        <w:tcW w:w="15" w:type="dxa"/>
                        <w:vAlign w:val="center"/>
                        <w:hideMark/>
                      </w:tcPr>
                      <w:p w:rsidR="007020C5" w:rsidRPr="007020C5" w:rsidRDefault="007020C5" w:rsidP="007020C5">
                        <w:pPr>
                          <w:spacing w:after="0" w:line="240" w:lineRule="auto"/>
                          <w:rPr>
                            <w:rFonts w:ascii="Arial Narrow" w:eastAsia="Times New Roman" w:hAnsi="Arial Narrow" w:cs="Times New Roman"/>
                            <w:b/>
                            <w:bCs/>
                            <w:color w:val="FFFFFF"/>
                            <w:lang w:eastAsia="es-MX"/>
                          </w:rPr>
                        </w:pPr>
                      </w:p>
                    </w:tc>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0"/>
                          <w:gridCol w:w="8406"/>
                        </w:tblGrid>
                        <w:tr w:rsidR="007020C5" w:rsidRPr="007020C5">
                          <w:trPr>
                            <w:tblCellSpacing w:w="15" w:type="dxa"/>
                          </w:trPr>
                          <w:tc>
                            <w:tcPr>
                              <w:tcW w:w="15" w:type="dxa"/>
                              <w:hideMark/>
                            </w:tcPr>
                            <w:p w:rsidR="007020C5" w:rsidRPr="007020C5" w:rsidRDefault="007020C5" w:rsidP="007020C5">
                              <w:pPr>
                                <w:spacing w:after="0" w:line="240" w:lineRule="auto"/>
                                <w:jc w:val="both"/>
                                <w:rPr>
                                  <w:rFonts w:ascii="Arial Narrow" w:eastAsia="Times New Roman" w:hAnsi="Arial Narrow" w:cs="Times New Roman"/>
                                  <w:color w:val="0000FF"/>
                                  <w:lang w:eastAsia="es-MX"/>
                                </w:rPr>
                              </w:pPr>
                              <w:r w:rsidRPr="007020C5">
                                <w:rPr>
                                  <w:rFonts w:ascii="Arial Narrow" w:eastAsia="Times New Roman" w:hAnsi="Arial Narrow" w:cs="Times New Roman"/>
                                  <w:color w:val="0000FF"/>
                                  <w:lang w:eastAsia="es-MX"/>
                                </w:rPr>
                                <w:t>•</w:t>
                              </w: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hyperlink r:id="rId8" w:history="1">
                                <w:r w:rsidRPr="007020C5">
                                  <w:rPr>
                                    <w:rFonts w:ascii="Arial Narrow" w:eastAsia="Times New Roman" w:hAnsi="Arial Narrow" w:cs="Times New Roman"/>
                                    <w:color w:val="0000FF"/>
                                    <w:u w:val="single"/>
                                    <w:lang w:eastAsia="es-MX"/>
                                  </w:rPr>
                                  <w:t>PA-GF-P10-F01 V01 Conciliación PCT Almacén y SIIF Nación.</w:t>
                                </w:r>
                              </w:hyperlink>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bl>
                <w:p w:rsidR="007020C5" w:rsidRPr="007020C5" w:rsidRDefault="007020C5" w:rsidP="007020C5">
                  <w:pPr>
                    <w:spacing w:after="0" w:line="240" w:lineRule="auto"/>
                    <w:jc w:val="both"/>
                    <w:rPr>
                      <w:rFonts w:ascii="Arial Narrow" w:eastAsia="Times New Roman" w:hAnsi="Arial Narrow" w:cs="Times New Roman"/>
                      <w:vanish/>
                      <w:color w:val="000000"/>
                      <w:lang w:eastAsia="es-MX"/>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621"/>
                  </w:tblGrid>
                  <w:tr w:rsidR="007020C5" w:rsidRPr="007020C5">
                    <w:trPr>
                      <w:tblCellSpacing w:w="15" w:type="dxa"/>
                    </w:trPr>
                    <w:tc>
                      <w:tcPr>
                        <w:tcW w:w="15" w:type="dxa"/>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500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0"/>
                          <w:gridCol w:w="8406"/>
                        </w:tblGrid>
                        <w:tr w:rsidR="007020C5" w:rsidRPr="007020C5">
                          <w:trPr>
                            <w:tblCellSpacing w:w="15" w:type="dxa"/>
                          </w:trPr>
                          <w:tc>
                            <w:tcPr>
                              <w:tcW w:w="15" w:type="dxa"/>
                              <w:hideMark/>
                            </w:tcPr>
                            <w:p w:rsidR="007020C5" w:rsidRPr="007020C5" w:rsidRDefault="007020C5" w:rsidP="007020C5">
                              <w:pPr>
                                <w:spacing w:after="0" w:line="240" w:lineRule="auto"/>
                                <w:jc w:val="both"/>
                                <w:rPr>
                                  <w:rFonts w:ascii="Arial Narrow" w:eastAsia="Times New Roman" w:hAnsi="Arial Narrow" w:cs="Times New Roman"/>
                                  <w:color w:val="0000FF"/>
                                  <w:lang w:eastAsia="es-MX"/>
                                </w:rPr>
                              </w:pPr>
                              <w:r w:rsidRPr="007020C5">
                                <w:rPr>
                                  <w:rFonts w:ascii="Arial Narrow" w:eastAsia="Times New Roman" w:hAnsi="Arial Narrow" w:cs="Times New Roman"/>
                                  <w:color w:val="0000FF"/>
                                  <w:lang w:eastAsia="es-MX"/>
                                </w:rPr>
                                <w:t>•</w:t>
                              </w:r>
                            </w:p>
                          </w:tc>
                          <w:tc>
                            <w:tcPr>
                              <w:tcW w:w="5000" w:type="pct"/>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hyperlink r:id="rId9" w:history="1">
                                <w:r w:rsidRPr="007020C5">
                                  <w:rPr>
                                    <w:rFonts w:ascii="Arial Narrow" w:eastAsia="Times New Roman" w:hAnsi="Arial Narrow" w:cs="Times New Roman"/>
                                    <w:color w:val="0000FF"/>
                                    <w:u w:val="single"/>
                                    <w:lang w:eastAsia="es-MX"/>
                                  </w:rPr>
                                  <w:t>Anexo 1. Tablas Categorías vs Cuentas Contables.</w:t>
                                </w:r>
                              </w:hyperlink>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bl>
          <w:p w:rsidR="007020C5" w:rsidRPr="007020C5" w:rsidRDefault="007020C5" w:rsidP="007020C5">
            <w:pPr>
              <w:spacing w:after="0" w:line="240" w:lineRule="auto"/>
              <w:rPr>
                <w:rFonts w:ascii="Times New Roman" w:eastAsia="Times New Roman" w:hAnsi="Times New Roman" w:cs="Times New Roman"/>
                <w:sz w:val="24"/>
                <w:szCs w:val="24"/>
                <w:lang w:eastAsia="es-MX"/>
              </w:rPr>
            </w:pPr>
          </w:p>
        </w:tc>
      </w:tr>
      <w:tr w:rsidR="007020C5" w:rsidRPr="007020C5" w:rsidTr="007020C5">
        <w:trPr>
          <w:trHeight w:val="225"/>
          <w:tblCellSpacing w:w="15" w:type="dxa"/>
          <w:jc w:val="center"/>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0"/>
                <w:szCs w:val="20"/>
                <w:lang w:eastAsia="es-MX"/>
              </w:rPr>
            </w:pPr>
          </w:p>
        </w:tc>
      </w:tr>
      <w:tr w:rsidR="007020C5" w:rsidRPr="007020C5" w:rsidTr="007020C5">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1309"/>
              <w:gridCol w:w="1310"/>
              <w:gridCol w:w="1310"/>
              <w:gridCol w:w="4803"/>
            </w:tblGrid>
            <w:tr w:rsidR="007020C5" w:rsidRPr="007020C5">
              <w:trPr>
                <w:trHeight w:val="375"/>
                <w:tblCellSpacing w:w="0" w:type="dxa"/>
              </w:trPr>
              <w:tc>
                <w:tcPr>
                  <w:tcW w:w="0" w:type="auto"/>
                  <w:gridSpan w:val="4"/>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Lista de Versiones</w:t>
                  </w:r>
                </w:p>
              </w:tc>
            </w:tr>
            <w:tr w:rsidR="007020C5" w:rsidRPr="007020C5">
              <w:trPr>
                <w:tblCellSpacing w:w="0" w:type="dxa"/>
              </w:trPr>
              <w:tc>
                <w:tcPr>
                  <w:tcW w:w="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Versión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Fecha de Emisión</w:t>
                  </w:r>
                </w:p>
              </w:tc>
              <w:tc>
                <w:tcPr>
                  <w:tcW w:w="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Motivo de la Modificación</w:t>
                  </w:r>
                </w:p>
              </w:tc>
              <w:tc>
                <w:tcPr>
                  <w:tcW w:w="27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Modificaciones</w:t>
                  </w: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lastRenderedPageBreak/>
                    <w:t>01</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29/Dic/2015</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center"/>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Creación del documento.</w:t>
                  </w:r>
                </w:p>
              </w:tc>
              <w:tc>
                <w:tcPr>
                  <w:tcW w:w="0" w:type="auto"/>
                  <w:tcBorders>
                    <w:top w:val="outset" w:sz="6" w:space="0" w:color="004C5A"/>
                    <w:left w:val="outset" w:sz="6" w:space="0" w:color="004C5A"/>
                    <w:bottom w:val="outset" w:sz="6" w:space="0" w:color="004C5A"/>
                    <w:right w:val="outset" w:sz="6" w:space="0" w:color="004C5A"/>
                  </w:tcBorders>
                  <w:vAlign w:val="center"/>
                  <w:hideMark/>
                </w:tcPr>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t>N/A. </w:t>
                  </w:r>
                </w:p>
              </w:tc>
            </w:tr>
          </w:tbl>
          <w:p w:rsidR="007020C5" w:rsidRPr="007020C5" w:rsidRDefault="007020C5" w:rsidP="007020C5">
            <w:pPr>
              <w:spacing w:after="0" w:line="240" w:lineRule="auto"/>
              <w:rPr>
                <w:rFonts w:ascii="Times New Roman" w:eastAsia="Times New Roman" w:hAnsi="Times New Roman" w:cs="Times New Roman"/>
                <w:sz w:val="24"/>
                <w:szCs w:val="24"/>
                <w:lang w:eastAsia="es-MX"/>
              </w:rPr>
            </w:pPr>
          </w:p>
        </w:tc>
      </w:tr>
      <w:tr w:rsidR="007020C5" w:rsidRPr="007020C5" w:rsidTr="007020C5">
        <w:trPr>
          <w:trHeight w:val="225"/>
          <w:tblCellSpacing w:w="15" w:type="dxa"/>
          <w:jc w:val="center"/>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0"/>
                <w:szCs w:val="20"/>
                <w:lang w:eastAsia="es-MX"/>
              </w:rPr>
            </w:pPr>
          </w:p>
        </w:tc>
      </w:tr>
      <w:tr w:rsidR="007020C5" w:rsidRPr="007020C5" w:rsidTr="007020C5">
        <w:trPr>
          <w:tblCellSpacing w:w="15" w:type="dxa"/>
          <w:jc w:val="center"/>
        </w:trPr>
        <w:tc>
          <w:tcPr>
            <w:tcW w:w="0" w:type="auto"/>
            <w:vAlign w:val="center"/>
            <w:hideMark/>
          </w:tcPr>
          <w:tbl>
            <w:tblPr>
              <w:tblW w:w="5000" w:type="pct"/>
              <w:tblCellSpacing w:w="0" w:type="dxa"/>
              <w:tblBorders>
                <w:top w:val="outset" w:sz="6" w:space="0" w:color="004C5A"/>
                <w:left w:val="outset" w:sz="6" w:space="0" w:color="004C5A"/>
                <w:bottom w:val="outset" w:sz="6" w:space="0" w:color="004C5A"/>
                <w:right w:val="outset" w:sz="6" w:space="0" w:color="004C5A"/>
              </w:tblBorders>
              <w:tblCellMar>
                <w:left w:w="0" w:type="dxa"/>
                <w:right w:w="0" w:type="dxa"/>
              </w:tblCellMar>
              <w:tblLook w:val="04A0" w:firstRow="1" w:lastRow="0" w:firstColumn="1" w:lastColumn="0" w:noHBand="0" w:noVBand="1"/>
            </w:tblPr>
            <w:tblGrid>
              <w:gridCol w:w="2910"/>
              <w:gridCol w:w="2911"/>
              <w:gridCol w:w="2911"/>
            </w:tblGrid>
            <w:tr w:rsidR="007020C5" w:rsidRPr="007020C5">
              <w:trPr>
                <w:trHeight w:val="375"/>
                <w:tblCellSpacing w:w="0" w:type="dxa"/>
              </w:trPr>
              <w:tc>
                <w:tcPr>
                  <w:tcW w:w="16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Elaboró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Revisó</w:t>
                  </w:r>
                </w:p>
              </w:tc>
              <w:tc>
                <w:tcPr>
                  <w:tcW w:w="1650" w:type="pct"/>
                  <w:tcBorders>
                    <w:top w:val="outset" w:sz="6" w:space="0" w:color="004C5A"/>
                    <w:left w:val="outset" w:sz="6" w:space="0" w:color="004C5A"/>
                    <w:bottom w:val="outset" w:sz="6" w:space="0" w:color="004C5A"/>
                    <w:right w:val="outset" w:sz="6" w:space="0" w:color="004C5A"/>
                  </w:tcBorders>
                  <w:shd w:val="clear" w:color="auto" w:fill="004C5A"/>
                  <w:vAlign w:val="center"/>
                  <w:hideMark/>
                </w:tcPr>
                <w:p w:rsidR="007020C5" w:rsidRPr="007020C5" w:rsidRDefault="007020C5" w:rsidP="007020C5">
                  <w:pPr>
                    <w:spacing w:after="0" w:line="240" w:lineRule="auto"/>
                    <w:jc w:val="center"/>
                    <w:rPr>
                      <w:rFonts w:ascii="Arial Narrow" w:eastAsia="Times New Roman" w:hAnsi="Arial Narrow" w:cs="Times New Roman"/>
                      <w:b/>
                      <w:bCs/>
                      <w:color w:val="FFFFFF"/>
                      <w:lang w:eastAsia="es-MX"/>
                    </w:rPr>
                  </w:pPr>
                  <w:r w:rsidRPr="007020C5">
                    <w:rPr>
                      <w:rFonts w:ascii="Arial Narrow" w:eastAsia="Times New Roman" w:hAnsi="Arial Narrow" w:cs="Times New Roman"/>
                      <w:b/>
                      <w:bCs/>
                      <w:color w:val="FFFFFF"/>
                      <w:lang w:eastAsia="es-MX"/>
                    </w:rPr>
                    <w:t>Aprobó</w:t>
                  </w:r>
                </w:p>
              </w:tc>
            </w:tr>
            <w:tr w:rsidR="007020C5" w:rsidRPr="007020C5">
              <w:trPr>
                <w:tblCellSpacing w:w="0" w:type="dxa"/>
              </w:trPr>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885"/>
                  </w:tblGrid>
                  <w:tr w:rsidR="007020C5" w:rsidRPr="007020C5">
                    <w:trPr>
                      <w:tblCellSpacing w:w="15" w:type="dxa"/>
                    </w:trPr>
                    <w:tc>
                      <w:tcPr>
                        <w:tcW w:w="1250" w:type="pct"/>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b/>
                            <w:bCs/>
                            <w:sz w:val="24"/>
                            <w:szCs w:val="24"/>
                            <w:lang w:eastAsia="es-MX"/>
                          </w:rPr>
                          <w:t>Nombre:</w:t>
                        </w:r>
                      </w:p>
                    </w:tc>
                    <w:tc>
                      <w:tcPr>
                        <w:tcW w:w="3750" w:type="pct"/>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sz w:val="24"/>
                            <w:szCs w:val="24"/>
                            <w:lang w:eastAsia="es-MX"/>
                          </w:rPr>
                          <w:t xml:space="preserve">Ana Cristina </w:t>
                        </w:r>
                        <w:proofErr w:type="spellStart"/>
                        <w:r w:rsidRPr="007020C5">
                          <w:rPr>
                            <w:rFonts w:ascii="Times New Roman" w:eastAsia="Times New Roman" w:hAnsi="Times New Roman" w:cs="Times New Roman"/>
                            <w:sz w:val="24"/>
                            <w:szCs w:val="24"/>
                            <w:lang w:eastAsia="es-MX"/>
                          </w:rPr>
                          <w:t>Diaz</w:t>
                        </w:r>
                        <w:proofErr w:type="spellEnd"/>
                        <w:r w:rsidRPr="007020C5">
                          <w:rPr>
                            <w:rFonts w:ascii="Times New Roman" w:eastAsia="Times New Roman" w:hAnsi="Times New Roman" w:cs="Times New Roman"/>
                            <w:sz w:val="24"/>
                            <w:szCs w:val="24"/>
                            <w:lang w:eastAsia="es-MX"/>
                          </w:rPr>
                          <w:t xml:space="preserve"> Martínez</w:t>
                        </w:r>
                      </w:p>
                    </w:tc>
                  </w:tr>
                  <w:tr w:rsidR="007020C5" w:rsidRPr="007020C5">
                    <w:trPr>
                      <w:tblCellSpacing w:w="15" w:type="dxa"/>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b/>
                            <w:bCs/>
                            <w:sz w:val="24"/>
                            <w:szCs w:val="24"/>
                            <w:lang w:eastAsia="es-MX"/>
                          </w:rPr>
                          <w:t>Cargo:</w:t>
                        </w:r>
                      </w:p>
                    </w:tc>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sz w:val="24"/>
                            <w:szCs w:val="24"/>
                            <w:lang w:eastAsia="es-MX"/>
                          </w:rPr>
                          <w:t>Coordinador Grupo Contable</w:t>
                        </w:r>
                      </w:p>
                    </w:tc>
                  </w:tr>
                  <w:tr w:rsidR="007020C5" w:rsidRPr="007020C5">
                    <w:trPr>
                      <w:tblCellSpacing w:w="15" w:type="dxa"/>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b/>
                            <w:bCs/>
                            <w:sz w:val="24"/>
                            <w:szCs w:val="24"/>
                            <w:lang w:eastAsia="es-MX"/>
                          </w:rPr>
                          <w:t>Fecha:</w:t>
                        </w:r>
                      </w:p>
                    </w:tc>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sz w:val="24"/>
                            <w:szCs w:val="24"/>
                            <w:lang w:eastAsia="es-MX"/>
                          </w:rPr>
                          <w:t>29/Dic/2015</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886"/>
                  </w:tblGrid>
                  <w:tr w:rsidR="007020C5" w:rsidRPr="007020C5">
                    <w:trPr>
                      <w:tblCellSpacing w:w="15" w:type="dxa"/>
                    </w:trPr>
                    <w:tc>
                      <w:tcPr>
                        <w:tcW w:w="1250" w:type="pct"/>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b/>
                            <w:bCs/>
                            <w:sz w:val="24"/>
                            <w:szCs w:val="24"/>
                            <w:lang w:eastAsia="es-MX"/>
                          </w:rPr>
                          <w:t>Nombre:</w:t>
                        </w:r>
                      </w:p>
                    </w:tc>
                    <w:tc>
                      <w:tcPr>
                        <w:tcW w:w="3750" w:type="pct"/>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sz w:val="24"/>
                            <w:szCs w:val="24"/>
                            <w:lang w:eastAsia="es-MX"/>
                          </w:rPr>
                          <w:t>Juan Manuel Riaño Vargas</w:t>
                        </w:r>
                      </w:p>
                    </w:tc>
                  </w:tr>
                  <w:tr w:rsidR="007020C5" w:rsidRPr="007020C5">
                    <w:trPr>
                      <w:tblCellSpacing w:w="15" w:type="dxa"/>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b/>
                            <w:bCs/>
                            <w:sz w:val="24"/>
                            <w:szCs w:val="24"/>
                            <w:lang w:eastAsia="es-MX"/>
                          </w:rPr>
                          <w:t>Cargo:</w:t>
                        </w:r>
                      </w:p>
                    </w:tc>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sz w:val="24"/>
                            <w:szCs w:val="24"/>
                            <w:lang w:eastAsia="es-MX"/>
                          </w:rPr>
                          <w:t>Jefe Oficina Asesora de Planeación</w:t>
                        </w:r>
                      </w:p>
                    </w:tc>
                  </w:tr>
                  <w:tr w:rsidR="007020C5" w:rsidRPr="007020C5">
                    <w:trPr>
                      <w:tblCellSpacing w:w="15" w:type="dxa"/>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b/>
                            <w:bCs/>
                            <w:sz w:val="24"/>
                            <w:szCs w:val="24"/>
                            <w:lang w:eastAsia="es-MX"/>
                          </w:rPr>
                          <w:t>Fecha:</w:t>
                        </w:r>
                      </w:p>
                    </w:tc>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sz w:val="24"/>
                            <w:szCs w:val="24"/>
                            <w:lang w:eastAsia="es-MX"/>
                          </w:rPr>
                          <w:t>29/Dic/2015</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r w:rsidRPr="007020C5">
                    <w:rPr>
                      <w:rFonts w:ascii="Arial Narrow" w:eastAsia="Times New Roman" w:hAnsi="Arial Narrow" w:cs="Times New Roman"/>
                      <w:color w:val="000000"/>
                      <w:lang w:eastAsia="es-MX"/>
                    </w:rPr>
                    <w:br/>
                    <w:t> </w:t>
                  </w:r>
                </w:p>
              </w:tc>
              <w:tc>
                <w:tcPr>
                  <w:tcW w:w="0" w:type="auto"/>
                  <w:tcBorders>
                    <w:top w:val="outset" w:sz="6" w:space="0" w:color="004C5A"/>
                    <w:left w:val="outset" w:sz="6" w:space="0" w:color="004C5A"/>
                    <w:bottom w:val="outset" w:sz="6" w:space="0" w:color="004C5A"/>
                    <w:right w:val="outset" w:sz="6" w:space="0" w:color="004C5A"/>
                  </w:tcBorders>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5"/>
                    <w:gridCol w:w="1886"/>
                  </w:tblGrid>
                  <w:tr w:rsidR="007020C5" w:rsidRPr="007020C5">
                    <w:trPr>
                      <w:tblCellSpacing w:w="15" w:type="dxa"/>
                    </w:trPr>
                    <w:tc>
                      <w:tcPr>
                        <w:tcW w:w="1250" w:type="pct"/>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b/>
                            <w:bCs/>
                            <w:sz w:val="24"/>
                            <w:szCs w:val="24"/>
                            <w:lang w:eastAsia="es-MX"/>
                          </w:rPr>
                          <w:t>Nombre:</w:t>
                        </w:r>
                      </w:p>
                    </w:tc>
                    <w:tc>
                      <w:tcPr>
                        <w:tcW w:w="3750" w:type="pct"/>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sz w:val="24"/>
                            <w:szCs w:val="24"/>
                            <w:lang w:eastAsia="es-MX"/>
                          </w:rPr>
                          <w:t xml:space="preserve">José Nemesio Moreno </w:t>
                        </w:r>
                        <w:proofErr w:type="spellStart"/>
                        <w:r w:rsidRPr="007020C5">
                          <w:rPr>
                            <w:rFonts w:ascii="Times New Roman" w:eastAsia="Times New Roman" w:hAnsi="Times New Roman" w:cs="Times New Roman"/>
                            <w:sz w:val="24"/>
                            <w:szCs w:val="24"/>
                            <w:lang w:eastAsia="es-MX"/>
                          </w:rPr>
                          <w:t>Rodriguez</w:t>
                        </w:r>
                        <w:proofErr w:type="spellEnd"/>
                      </w:p>
                    </w:tc>
                  </w:tr>
                  <w:tr w:rsidR="007020C5" w:rsidRPr="007020C5">
                    <w:trPr>
                      <w:tblCellSpacing w:w="15" w:type="dxa"/>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b/>
                            <w:bCs/>
                            <w:sz w:val="24"/>
                            <w:szCs w:val="24"/>
                            <w:lang w:eastAsia="es-MX"/>
                          </w:rPr>
                          <w:t>Cargo:</w:t>
                        </w:r>
                      </w:p>
                    </w:tc>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sz w:val="24"/>
                            <w:szCs w:val="24"/>
                            <w:lang w:eastAsia="es-MX"/>
                          </w:rPr>
                          <w:t>Director de Gestión Corporativa</w:t>
                        </w:r>
                      </w:p>
                    </w:tc>
                  </w:tr>
                  <w:tr w:rsidR="007020C5" w:rsidRPr="007020C5">
                    <w:trPr>
                      <w:tblCellSpacing w:w="15" w:type="dxa"/>
                    </w:trPr>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b/>
                            <w:bCs/>
                            <w:sz w:val="24"/>
                            <w:szCs w:val="24"/>
                            <w:lang w:eastAsia="es-MX"/>
                          </w:rPr>
                          <w:t>Fecha:</w:t>
                        </w:r>
                      </w:p>
                    </w:tc>
                    <w:tc>
                      <w:tcPr>
                        <w:tcW w:w="0" w:type="auto"/>
                        <w:vAlign w:val="center"/>
                        <w:hideMark/>
                      </w:tcPr>
                      <w:p w:rsidR="007020C5" w:rsidRPr="007020C5" w:rsidRDefault="007020C5" w:rsidP="007020C5">
                        <w:pPr>
                          <w:spacing w:after="0" w:line="240" w:lineRule="auto"/>
                          <w:rPr>
                            <w:rFonts w:ascii="Times New Roman" w:eastAsia="Times New Roman" w:hAnsi="Times New Roman" w:cs="Times New Roman"/>
                            <w:sz w:val="24"/>
                            <w:szCs w:val="24"/>
                            <w:lang w:eastAsia="es-MX"/>
                          </w:rPr>
                        </w:pPr>
                        <w:r w:rsidRPr="007020C5">
                          <w:rPr>
                            <w:rFonts w:ascii="Times New Roman" w:eastAsia="Times New Roman" w:hAnsi="Times New Roman" w:cs="Times New Roman"/>
                            <w:sz w:val="24"/>
                            <w:szCs w:val="24"/>
                            <w:lang w:eastAsia="es-MX"/>
                          </w:rPr>
                          <w:t>29/Dic/2015</w:t>
                        </w:r>
                      </w:p>
                    </w:tc>
                  </w:tr>
                </w:tbl>
                <w:p w:rsidR="007020C5" w:rsidRPr="007020C5" w:rsidRDefault="007020C5" w:rsidP="007020C5">
                  <w:pPr>
                    <w:spacing w:after="0" w:line="240" w:lineRule="auto"/>
                    <w:jc w:val="both"/>
                    <w:rPr>
                      <w:rFonts w:ascii="Arial Narrow" w:eastAsia="Times New Roman" w:hAnsi="Arial Narrow" w:cs="Times New Roman"/>
                      <w:color w:val="000000"/>
                      <w:lang w:eastAsia="es-MX"/>
                    </w:rPr>
                  </w:pPr>
                </w:p>
              </w:tc>
            </w:tr>
          </w:tbl>
          <w:p w:rsidR="007020C5" w:rsidRPr="007020C5" w:rsidRDefault="007020C5" w:rsidP="007020C5">
            <w:pPr>
              <w:spacing w:after="0" w:line="240" w:lineRule="auto"/>
              <w:rPr>
                <w:rFonts w:ascii="Times New Roman" w:eastAsia="Times New Roman" w:hAnsi="Times New Roman" w:cs="Times New Roman"/>
                <w:sz w:val="24"/>
                <w:szCs w:val="24"/>
                <w:lang w:eastAsia="es-MX"/>
              </w:rPr>
            </w:pPr>
          </w:p>
        </w:tc>
      </w:tr>
      <w:tr w:rsidR="007020C5" w:rsidRPr="007020C5" w:rsidTr="007020C5">
        <w:trPr>
          <w:trHeight w:val="225"/>
          <w:tblCellSpacing w:w="15" w:type="dxa"/>
          <w:jc w:val="center"/>
        </w:trPr>
        <w:tc>
          <w:tcPr>
            <w:tcW w:w="0" w:type="auto"/>
            <w:vAlign w:val="center"/>
            <w:hideMark/>
          </w:tcPr>
          <w:p w:rsidR="007020C5" w:rsidRPr="007020C5" w:rsidRDefault="007020C5" w:rsidP="007020C5">
            <w:pPr>
              <w:spacing w:after="0" w:line="240" w:lineRule="auto"/>
              <w:jc w:val="center"/>
              <w:rPr>
                <w:rFonts w:ascii="Arial Narrow" w:eastAsia="Times New Roman" w:hAnsi="Arial Narrow" w:cs="Times New Roman"/>
                <w:color w:val="000000"/>
                <w:lang w:eastAsia="es-MX"/>
              </w:rPr>
            </w:pPr>
            <w:proofErr w:type="spellStart"/>
            <w:r w:rsidRPr="007020C5">
              <w:rPr>
                <w:rFonts w:ascii="Arial Narrow" w:eastAsia="Times New Roman" w:hAnsi="Arial Narrow" w:cs="Times New Roman"/>
                <w:color w:val="000000"/>
                <w:lang w:eastAsia="es-MX"/>
              </w:rPr>
              <w:t>TXTCOpiaControlada</w:t>
            </w:r>
            <w:proofErr w:type="spellEnd"/>
          </w:p>
        </w:tc>
      </w:tr>
      <w:tr w:rsidR="007020C5" w:rsidRPr="007020C5" w:rsidTr="007020C5">
        <w:trPr>
          <w:trHeight w:val="225"/>
          <w:tblCellSpacing w:w="15" w:type="dxa"/>
          <w:jc w:val="center"/>
        </w:trPr>
        <w:tc>
          <w:tcPr>
            <w:tcW w:w="0" w:type="auto"/>
            <w:vAlign w:val="center"/>
            <w:hideMark/>
          </w:tcPr>
          <w:p w:rsidR="007020C5" w:rsidRPr="007020C5" w:rsidRDefault="007020C5" w:rsidP="007020C5">
            <w:pPr>
              <w:spacing w:after="0" w:line="240" w:lineRule="auto"/>
              <w:jc w:val="center"/>
              <w:rPr>
                <w:rFonts w:ascii="Arial Narrow" w:eastAsia="Times New Roman" w:hAnsi="Arial Narrow" w:cs="Times New Roman"/>
                <w:color w:val="000000"/>
                <w:lang w:eastAsia="es-MX"/>
              </w:rPr>
            </w:pPr>
          </w:p>
        </w:tc>
      </w:tr>
    </w:tbl>
    <w:p w:rsidR="00CC3B65" w:rsidRDefault="007020C5"/>
    <w:sectPr w:rsidR="00CC3B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71F10"/>
    <w:multiLevelType w:val="multilevel"/>
    <w:tmpl w:val="B1E4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84238"/>
    <w:multiLevelType w:val="multilevel"/>
    <w:tmpl w:val="528A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07327"/>
    <w:multiLevelType w:val="multilevel"/>
    <w:tmpl w:val="C9BC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BD4234"/>
    <w:multiLevelType w:val="multilevel"/>
    <w:tmpl w:val="152C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C5"/>
    <w:rsid w:val="00086A8F"/>
    <w:rsid w:val="007020C5"/>
    <w:rsid w:val="00745F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1C149-2540-4EEF-9D9F-4B0F8237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02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20882">
      <w:bodyDiv w:val="1"/>
      <w:marLeft w:val="0"/>
      <w:marRight w:val="0"/>
      <w:marTop w:val="0"/>
      <w:marBottom w:val="0"/>
      <w:divBdr>
        <w:top w:val="none" w:sz="0" w:space="0" w:color="auto"/>
        <w:left w:val="none" w:sz="0" w:space="0" w:color="auto"/>
        <w:bottom w:val="none" w:sz="0" w:space="0" w:color="auto"/>
        <w:right w:val="none" w:sz="0" w:space="0" w:color="auto"/>
      </w:divBdr>
      <w:divsChild>
        <w:div w:id="460342907">
          <w:marLeft w:val="0"/>
          <w:marRight w:val="0"/>
          <w:marTop w:val="0"/>
          <w:marBottom w:val="0"/>
          <w:divBdr>
            <w:top w:val="none" w:sz="0" w:space="0" w:color="auto"/>
            <w:left w:val="none" w:sz="0" w:space="0" w:color="auto"/>
            <w:bottom w:val="none" w:sz="0" w:space="0" w:color="auto"/>
            <w:right w:val="none" w:sz="0" w:space="0" w:color="auto"/>
          </w:divBdr>
        </w:div>
        <w:div w:id="1978299439">
          <w:marLeft w:val="0"/>
          <w:marRight w:val="0"/>
          <w:marTop w:val="0"/>
          <w:marBottom w:val="0"/>
          <w:divBdr>
            <w:top w:val="none" w:sz="0" w:space="0" w:color="auto"/>
            <w:left w:val="none" w:sz="0" w:space="0" w:color="auto"/>
            <w:bottom w:val="none" w:sz="0" w:space="0" w:color="auto"/>
            <w:right w:val="none" w:sz="0" w:space="0" w:color="auto"/>
          </w:divBdr>
        </w:div>
        <w:div w:id="100775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lucion.inpec.gov.co/Isolucion4Inpec/BancoConocimiento4INPEC/D/D7AF94B8-6438-4BAB-B94D-C7D73AEB12CE/D7AF94B8-6438-4BAB-B94D-C7D73AEB12CE.asp?IdArticulo=364"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pec.gov.co/documents/20143/73347/Normograma+Institucional+vfinal.xlsx/6bdeed27-cbf7-360d-0c00-8e5dfec9f8f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solucion.inpec.gov.co/Isolucion4Inpec/BancoConocimiento4INPEC/6/698AB707-B1E4-4CE2-B2C9-7117163BDE55/anexo%2010.xl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5518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LUIS LISCANO VELASQUEZ</dc:creator>
  <cp:keywords/>
  <dc:description/>
  <cp:lastModifiedBy>HECTOR LUIS LISCANO VELASQUEZ</cp:lastModifiedBy>
  <cp:revision>1</cp:revision>
  <dcterms:created xsi:type="dcterms:W3CDTF">2020-03-13T19:23:00Z</dcterms:created>
  <dcterms:modified xsi:type="dcterms:W3CDTF">2020-03-13T19:23:00Z</dcterms:modified>
</cp:coreProperties>
</file>